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17BE" w14:textId="1DF247AE" w:rsidR="002576DF" w:rsidRPr="00A9019D" w:rsidRDefault="003204CC" w:rsidP="006C22DF">
      <w:pPr>
        <w:jc w:val="both"/>
        <w:rPr>
          <w:rFonts w:ascii="Calibri" w:hAnsi="Calibri" w:cs="Calibri"/>
          <w:b/>
          <w:bCs/>
          <w:caps/>
        </w:rPr>
      </w:pPr>
      <w:r w:rsidRPr="00A9019D">
        <w:rPr>
          <w:rFonts w:ascii="Calibri" w:hAnsi="Calibri" w:cs="Calibri"/>
          <w:b/>
          <w:bCs/>
          <w:caps/>
        </w:rPr>
        <w:t xml:space="preserve">BESLUT OM </w:t>
      </w:r>
      <w:r w:rsidR="00E75458" w:rsidRPr="00A9019D">
        <w:rPr>
          <w:rFonts w:ascii="Calibri" w:hAnsi="Calibri" w:cs="Calibri"/>
          <w:b/>
          <w:bCs/>
          <w:caps/>
        </w:rPr>
        <w:t xml:space="preserve">kvittningsemission </w:t>
      </w:r>
      <w:r w:rsidR="00E411BD" w:rsidRPr="00A9019D">
        <w:rPr>
          <w:rFonts w:ascii="Calibri" w:hAnsi="Calibri" w:cs="Calibri"/>
          <w:b/>
          <w:bCs/>
          <w:caps/>
        </w:rPr>
        <w:t xml:space="preserve">under förutsättning av bolagsstämmans efterföljande godkännande </w:t>
      </w:r>
      <w:r w:rsidR="00C37016" w:rsidRPr="00A9019D">
        <w:rPr>
          <w:rFonts w:ascii="Calibri" w:hAnsi="Calibri" w:cs="Calibri"/>
          <w:b/>
          <w:bCs/>
          <w:caps/>
        </w:rPr>
        <w:t xml:space="preserve">(PUNKT </w:t>
      </w:r>
      <w:r w:rsidR="00A905C2" w:rsidRPr="00A9019D">
        <w:rPr>
          <w:rFonts w:ascii="Calibri" w:hAnsi="Calibri" w:cs="Calibri"/>
          <w:b/>
          <w:bCs/>
          <w:caps/>
        </w:rPr>
        <w:t>7</w:t>
      </w:r>
      <w:r w:rsidR="00C37016" w:rsidRPr="00A9019D">
        <w:rPr>
          <w:rFonts w:ascii="Calibri" w:hAnsi="Calibri" w:cs="Calibri"/>
          <w:b/>
          <w:bCs/>
          <w:caps/>
        </w:rPr>
        <w:t>)</w:t>
      </w:r>
    </w:p>
    <w:p w14:paraId="2017B782" w14:textId="7CB4ECD0" w:rsidR="006C22DF" w:rsidRPr="00A9019D" w:rsidRDefault="006C22DF" w:rsidP="006C22DF">
      <w:pPr>
        <w:jc w:val="both"/>
        <w:rPr>
          <w:rFonts w:ascii="Calibri" w:hAnsi="Calibri" w:cs="Calibri"/>
        </w:rPr>
      </w:pPr>
      <w:r w:rsidRPr="00A9019D">
        <w:rPr>
          <w:rFonts w:ascii="Calibri" w:hAnsi="Calibri" w:cs="Calibri"/>
        </w:rPr>
        <w:t xml:space="preserve">Styrelsen </w:t>
      </w:r>
      <w:r w:rsidR="004B38B4" w:rsidRPr="00A9019D">
        <w:rPr>
          <w:rFonts w:ascii="Calibri" w:hAnsi="Calibri" w:cs="Calibri"/>
        </w:rPr>
        <w:t>beslutar, under förutsättning av bolagsstämmans efterföljande godkännande</w:t>
      </w:r>
      <w:r w:rsidR="00E32FE1" w:rsidRPr="00A9019D">
        <w:rPr>
          <w:rFonts w:ascii="Calibri" w:hAnsi="Calibri" w:cs="Calibri"/>
        </w:rPr>
        <w:t xml:space="preserve"> enligt 13 kap. 31 § ABL</w:t>
      </w:r>
      <w:r w:rsidR="004B38B4" w:rsidRPr="00A9019D">
        <w:rPr>
          <w:rFonts w:ascii="Calibri" w:hAnsi="Calibri" w:cs="Calibri"/>
        </w:rPr>
        <w:t xml:space="preserve">, </w:t>
      </w:r>
      <w:r w:rsidRPr="00A9019D">
        <w:rPr>
          <w:rFonts w:ascii="Calibri" w:hAnsi="Calibri" w:cs="Calibri"/>
        </w:rPr>
        <w:t xml:space="preserve">att </w:t>
      </w:r>
      <w:r w:rsidR="00D14514" w:rsidRPr="00A9019D">
        <w:rPr>
          <w:rFonts w:ascii="Calibri" w:hAnsi="Calibri" w:cs="Calibri"/>
        </w:rPr>
        <w:t>B</w:t>
      </w:r>
      <w:r w:rsidRPr="00A9019D">
        <w:rPr>
          <w:rFonts w:ascii="Calibri" w:hAnsi="Calibri" w:cs="Calibri"/>
        </w:rPr>
        <w:t xml:space="preserve">olaget genom en </w:t>
      </w:r>
      <w:r w:rsidR="004B38B4" w:rsidRPr="00A9019D">
        <w:rPr>
          <w:rFonts w:ascii="Calibri" w:hAnsi="Calibri" w:cs="Calibri"/>
        </w:rPr>
        <w:t>kvittnings</w:t>
      </w:r>
      <w:r w:rsidR="009B5FC9" w:rsidRPr="00A9019D">
        <w:rPr>
          <w:rFonts w:ascii="Calibri" w:hAnsi="Calibri" w:cs="Calibri"/>
        </w:rPr>
        <w:t xml:space="preserve">emission </w:t>
      </w:r>
      <w:r w:rsidR="00E32FE1" w:rsidRPr="00A9019D">
        <w:rPr>
          <w:rFonts w:ascii="Calibri" w:hAnsi="Calibri" w:cs="Calibri"/>
        </w:rPr>
        <w:t>om</w:t>
      </w:r>
      <w:r w:rsidRPr="00A9019D">
        <w:rPr>
          <w:rFonts w:ascii="Calibri" w:hAnsi="Calibri" w:cs="Calibri"/>
        </w:rPr>
        <w:t xml:space="preserve"> högst </w:t>
      </w:r>
      <w:r w:rsidR="000D5D45" w:rsidRPr="00A9019D">
        <w:rPr>
          <w:rFonts w:ascii="Calibri" w:hAnsi="Calibri" w:cs="Calibri"/>
        </w:rPr>
        <w:t>3</w:t>
      </w:r>
      <w:r w:rsidRPr="00A9019D">
        <w:rPr>
          <w:rFonts w:ascii="Calibri" w:hAnsi="Calibri" w:cs="Calibri"/>
        </w:rPr>
        <w:t xml:space="preserve"> </w:t>
      </w:r>
      <w:r w:rsidR="000D5D45" w:rsidRPr="00A9019D">
        <w:rPr>
          <w:rFonts w:ascii="Calibri" w:hAnsi="Calibri" w:cs="Calibri"/>
        </w:rPr>
        <w:t>863</w:t>
      </w:r>
      <w:r w:rsidRPr="00A9019D">
        <w:rPr>
          <w:rFonts w:ascii="Calibri" w:hAnsi="Calibri" w:cs="Calibri"/>
        </w:rPr>
        <w:t xml:space="preserve"> </w:t>
      </w:r>
      <w:r w:rsidR="00FB7B80" w:rsidRPr="00A9019D">
        <w:rPr>
          <w:rFonts w:ascii="Calibri" w:hAnsi="Calibri" w:cs="Calibri"/>
        </w:rPr>
        <w:t>634</w:t>
      </w:r>
      <w:r w:rsidRPr="00A9019D">
        <w:rPr>
          <w:rFonts w:ascii="Calibri" w:hAnsi="Calibri" w:cs="Calibri"/>
        </w:rPr>
        <w:t xml:space="preserve"> aktier ökar sitt aktiekapital med högst </w:t>
      </w:r>
      <w:r w:rsidR="00FB7B80" w:rsidRPr="00A9019D">
        <w:rPr>
          <w:rFonts w:ascii="Calibri" w:hAnsi="Calibri" w:cs="Calibri"/>
        </w:rPr>
        <w:t>193 181,70</w:t>
      </w:r>
      <w:r w:rsidRPr="00A9019D">
        <w:rPr>
          <w:rFonts w:ascii="Calibri" w:hAnsi="Calibri" w:cs="Calibri"/>
        </w:rPr>
        <w:t xml:space="preserve"> kronor på nedanstående villkor.</w:t>
      </w:r>
    </w:p>
    <w:p w14:paraId="583FB3A6" w14:textId="261E45A3" w:rsidR="00EB74F8" w:rsidRPr="00A9019D" w:rsidRDefault="00377EB0" w:rsidP="006C22DF">
      <w:pPr>
        <w:jc w:val="both"/>
        <w:rPr>
          <w:rFonts w:ascii="Calibri" w:hAnsi="Calibri" w:cs="Calibri"/>
          <w:b/>
          <w:bCs/>
        </w:rPr>
      </w:pPr>
      <w:r w:rsidRPr="00A9019D">
        <w:rPr>
          <w:rFonts w:ascii="Calibri" w:hAnsi="Calibri" w:cs="Calibri"/>
          <w:b/>
          <w:bCs/>
        </w:rPr>
        <w:t>Emissionens storlek</w:t>
      </w:r>
    </w:p>
    <w:p w14:paraId="1462F108" w14:textId="00560828" w:rsidR="00377EB0" w:rsidRPr="00A9019D" w:rsidRDefault="00F42E01" w:rsidP="006C22DF">
      <w:pPr>
        <w:jc w:val="both"/>
        <w:rPr>
          <w:rFonts w:ascii="Calibri" w:hAnsi="Calibri" w:cs="Calibri"/>
        </w:rPr>
      </w:pPr>
      <w:r w:rsidRPr="00A9019D">
        <w:rPr>
          <w:rFonts w:ascii="Calibri" w:hAnsi="Calibri" w:cs="Calibri"/>
        </w:rPr>
        <w:t xml:space="preserve">Bolagets aktiekapital ökas med högst </w:t>
      </w:r>
      <w:r w:rsidR="00F72153" w:rsidRPr="00A9019D">
        <w:rPr>
          <w:rFonts w:ascii="Calibri" w:hAnsi="Calibri" w:cs="Calibri"/>
        </w:rPr>
        <w:t>193 181,70 kronor</w:t>
      </w:r>
      <w:r w:rsidRPr="00A9019D">
        <w:rPr>
          <w:rFonts w:ascii="Calibri" w:hAnsi="Calibri" w:cs="Calibri"/>
        </w:rPr>
        <w:t>.</w:t>
      </w:r>
    </w:p>
    <w:p w14:paraId="5286EBC8" w14:textId="77777777" w:rsidR="00F328B3" w:rsidRPr="00A9019D" w:rsidRDefault="006035A1" w:rsidP="006C22DF">
      <w:pPr>
        <w:jc w:val="both"/>
        <w:rPr>
          <w:rFonts w:ascii="Calibri" w:hAnsi="Calibri" w:cs="Calibri"/>
          <w:b/>
          <w:bCs/>
        </w:rPr>
      </w:pPr>
      <w:r w:rsidRPr="00A9019D">
        <w:rPr>
          <w:rFonts w:ascii="Calibri" w:hAnsi="Calibri" w:cs="Calibri"/>
          <w:b/>
          <w:bCs/>
        </w:rPr>
        <w:t>Aktier</w:t>
      </w:r>
    </w:p>
    <w:p w14:paraId="2CCD4223" w14:textId="7B8BA681" w:rsidR="006035A1" w:rsidRPr="00A9019D" w:rsidRDefault="00F328B3" w:rsidP="006C22DF">
      <w:pPr>
        <w:jc w:val="both"/>
        <w:rPr>
          <w:rFonts w:ascii="Calibri" w:hAnsi="Calibri" w:cs="Calibri"/>
        </w:rPr>
      </w:pPr>
      <w:r w:rsidRPr="00A9019D">
        <w:rPr>
          <w:rFonts w:ascii="Calibri" w:hAnsi="Calibri" w:cs="Calibri"/>
        </w:rPr>
        <w:t xml:space="preserve">Ökning av aktiekapitalet sker genom en </w:t>
      </w:r>
      <w:r w:rsidR="00E32FE1" w:rsidRPr="00A9019D">
        <w:rPr>
          <w:rFonts w:ascii="Calibri" w:hAnsi="Calibri" w:cs="Calibri"/>
        </w:rPr>
        <w:t>kvittningsemission</w:t>
      </w:r>
      <w:r w:rsidRPr="00A9019D">
        <w:rPr>
          <w:rFonts w:ascii="Calibri" w:hAnsi="Calibri" w:cs="Calibri"/>
        </w:rPr>
        <w:t xml:space="preserve"> av högst </w:t>
      </w:r>
      <w:r w:rsidR="00693E10" w:rsidRPr="00A9019D">
        <w:rPr>
          <w:rFonts w:ascii="Calibri" w:hAnsi="Calibri" w:cs="Calibri"/>
        </w:rPr>
        <w:t xml:space="preserve">3 863 634 </w:t>
      </w:r>
      <w:r w:rsidRPr="00A9019D">
        <w:rPr>
          <w:rFonts w:ascii="Calibri" w:hAnsi="Calibri" w:cs="Calibri"/>
        </w:rPr>
        <w:t>aktier.</w:t>
      </w:r>
    </w:p>
    <w:p w14:paraId="12C8D57B" w14:textId="226D4BD4" w:rsidR="00F328B3" w:rsidRPr="00A9019D" w:rsidRDefault="00F328B3" w:rsidP="006C22DF">
      <w:pPr>
        <w:jc w:val="both"/>
        <w:rPr>
          <w:rFonts w:ascii="Calibri" w:hAnsi="Calibri" w:cs="Calibri"/>
          <w:b/>
          <w:bCs/>
        </w:rPr>
      </w:pPr>
      <w:r w:rsidRPr="00A9019D">
        <w:rPr>
          <w:rFonts w:ascii="Calibri" w:hAnsi="Calibri" w:cs="Calibri"/>
          <w:b/>
          <w:bCs/>
        </w:rPr>
        <w:t>Teckningskurs</w:t>
      </w:r>
    </w:p>
    <w:p w14:paraId="3B8E0326" w14:textId="373737A2" w:rsidR="001A57BA" w:rsidRPr="00A9019D" w:rsidRDefault="00F328B3" w:rsidP="00F328B3">
      <w:pPr>
        <w:jc w:val="both"/>
        <w:rPr>
          <w:rFonts w:ascii="Calibri" w:hAnsi="Calibri" w:cs="Calibri"/>
        </w:rPr>
      </w:pPr>
      <w:r w:rsidRPr="00A9019D">
        <w:rPr>
          <w:rFonts w:ascii="Calibri" w:hAnsi="Calibri" w:cs="Calibri"/>
        </w:rPr>
        <w:t xml:space="preserve">Teckningskursen ska vara </w:t>
      </w:r>
      <w:r w:rsidR="00F2288A" w:rsidRPr="00A9019D">
        <w:rPr>
          <w:rFonts w:ascii="Calibri" w:hAnsi="Calibri" w:cs="Calibri"/>
        </w:rPr>
        <w:t>1</w:t>
      </w:r>
      <w:r w:rsidRPr="00A9019D">
        <w:rPr>
          <w:rFonts w:ascii="Calibri" w:hAnsi="Calibri" w:cs="Calibri"/>
        </w:rPr>
        <w:t>,</w:t>
      </w:r>
      <w:r w:rsidR="00F2288A" w:rsidRPr="00A9019D">
        <w:rPr>
          <w:rFonts w:ascii="Calibri" w:hAnsi="Calibri" w:cs="Calibri"/>
        </w:rPr>
        <w:t>10</w:t>
      </w:r>
      <w:r w:rsidRPr="00A9019D">
        <w:rPr>
          <w:rFonts w:ascii="Calibri" w:hAnsi="Calibri" w:cs="Calibri"/>
        </w:rPr>
        <w:t xml:space="preserve"> </w:t>
      </w:r>
      <w:r w:rsidR="00A54FAD" w:rsidRPr="00A9019D">
        <w:rPr>
          <w:rFonts w:ascii="Calibri" w:hAnsi="Calibri" w:cs="Calibri"/>
        </w:rPr>
        <w:t>SEK</w:t>
      </w:r>
      <w:r w:rsidRPr="00A9019D">
        <w:rPr>
          <w:rFonts w:ascii="Calibri" w:hAnsi="Calibri" w:cs="Calibri"/>
        </w:rPr>
        <w:t xml:space="preserve"> per aktie.</w:t>
      </w:r>
      <w:r w:rsidR="001B046E" w:rsidRPr="00A9019D">
        <w:rPr>
          <w:rFonts w:ascii="Calibri" w:hAnsi="Calibri" w:cs="Calibri"/>
        </w:rPr>
        <w:t xml:space="preserve"> Teckningskursen </w:t>
      </w:r>
      <w:r w:rsidR="00CF741A" w:rsidRPr="00A9019D">
        <w:rPr>
          <w:rFonts w:ascii="Calibri" w:hAnsi="Calibri" w:cs="Calibri"/>
        </w:rPr>
        <w:t>har fastställts baserat på aktiens</w:t>
      </w:r>
      <w:r w:rsidR="001A57BA" w:rsidRPr="00A9019D">
        <w:rPr>
          <w:rFonts w:ascii="Calibri" w:hAnsi="Calibri" w:cs="Calibri"/>
        </w:rPr>
        <w:t xml:space="preserve"> </w:t>
      </w:r>
      <w:r w:rsidR="00E30842" w:rsidRPr="00A9019D">
        <w:rPr>
          <w:rFonts w:ascii="Calibri" w:hAnsi="Calibri" w:cs="Calibri"/>
        </w:rPr>
        <w:t>volymvägda genomsnittskurs (VWAP) för aktien under de senaste 30 handelsdagarna före Bolagets rapport för det första kvartalet vilket offentliggjordes 28 maj 2026</w:t>
      </w:r>
      <w:r w:rsidR="001A57BA" w:rsidRPr="00A9019D">
        <w:rPr>
          <w:rFonts w:ascii="Calibri" w:hAnsi="Calibri" w:cs="Calibri"/>
        </w:rPr>
        <w:t>, vilket var 1,10 SEK per aktie</w:t>
      </w:r>
      <w:r w:rsidR="008D1593" w:rsidRPr="00A9019D">
        <w:rPr>
          <w:rFonts w:ascii="Calibri" w:hAnsi="Calibri" w:cs="Calibri"/>
        </w:rPr>
        <w:t xml:space="preserve">, och bedöms </w:t>
      </w:r>
      <w:r w:rsidR="00584E2C" w:rsidRPr="00A9019D">
        <w:rPr>
          <w:rFonts w:ascii="Calibri" w:hAnsi="Calibri" w:cs="Calibri"/>
        </w:rPr>
        <w:t xml:space="preserve">vara marknadsmässig. </w:t>
      </w:r>
    </w:p>
    <w:p w14:paraId="44E3C4CD" w14:textId="6EC7263C" w:rsidR="00F328B3" w:rsidRPr="00A9019D" w:rsidRDefault="000E6086" w:rsidP="00F328B3">
      <w:pPr>
        <w:jc w:val="both"/>
        <w:rPr>
          <w:rFonts w:ascii="Calibri" w:hAnsi="Calibri" w:cs="Calibri"/>
        </w:rPr>
      </w:pPr>
      <w:r w:rsidRPr="00A9019D">
        <w:rPr>
          <w:rFonts w:ascii="Calibri" w:hAnsi="Calibri" w:cs="Calibri"/>
        </w:rPr>
        <w:t>Den del av teckningskursen som överstiger aktiernas kvotvärde ska tillföras den fria överkursfonden</w:t>
      </w:r>
      <w:r w:rsidR="00F328B3" w:rsidRPr="00A9019D">
        <w:rPr>
          <w:rFonts w:ascii="Calibri" w:hAnsi="Calibri" w:cs="Calibri"/>
        </w:rPr>
        <w:t>.</w:t>
      </w:r>
    </w:p>
    <w:p w14:paraId="13AFAA84" w14:textId="633B5A58" w:rsidR="00F328B3" w:rsidRPr="00A9019D" w:rsidRDefault="00E07D47" w:rsidP="00F328B3">
      <w:pPr>
        <w:jc w:val="both"/>
        <w:rPr>
          <w:rFonts w:ascii="Calibri" w:hAnsi="Calibri" w:cs="Calibri"/>
          <w:b/>
          <w:bCs/>
          <w:color w:val="EE0000"/>
        </w:rPr>
      </w:pPr>
      <w:r w:rsidRPr="00A9019D">
        <w:rPr>
          <w:rFonts w:ascii="Calibri" w:hAnsi="Calibri" w:cs="Calibri"/>
          <w:b/>
          <w:bCs/>
        </w:rPr>
        <w:t>Teckningsberättigade</w:t>
      </w:r>
      <w:r w:rsidR="00130CF0" w:rsidRPr="00A9019D">
        <w:rPr>
          <w:rFonts w:ascii="Calibri" w:hAnsi="Calibri" w:cs="Calibri"/>
          <w:b/>
          <w:bCs/>
        </w:rPr>
        <w:t xml:space="preserve"> och avvikelse från</w:t>
      </w:r>
      <w:r w:rsidR="007742C4" w:rsidRPr="00A9019D">
        <w:rPr>
          <w:rFonts w:ascii="Calibri" w:hAnsi="Calibri" w:cs="Calibri"/>
          <w:b/>
          <w:bCs/>
        </w:rPr>
        <w:t xml:space="preserve"> </w:t>
      </w:r>
      <w:r w:rsidR="00130CF0" w:rsidRPr="00A9019D">
        <w:rPr>
          <w:rFonts w:ascii="Calibri" w:hAnsi="Calibri" w:cs="Calibri"/>
          <w:b/>
          <w:bCs/>
        </w:rPr>
        <w:t>företrädesrätt</w:t>
      </w:r>
    </w:p>
    <w:p w14:paraId="0890A9A4" w14:textId="77777777" w:rsidR="007742C4" w:rsidRPr="00A9019D" w:rsidRDefault="007742C4" w:rsidP="007742C4">
      <w:pPr>
        <w:jc w:val="both"/>
        <w:rPr>
          <w:rFonts w:ascii="Calibri" w:hAnsi="Calibri" w:cs="Calibri"/>
        </w:rPr>
      </w:pPr>
      <w:r w:rsidRPr="00A9019D">
        <w:rPr>
          <w:rFonts w:ascii="Calibri" w:hAnsi="Calibri" w:cs="Calibri"/>
        </w:rPr>
        <w:t xml:space="preserve">Med avvikelse från befintliga aktieägares företrädesrätt ska teckningsberättigade fordringsägare äga rätt att teckna nedan angivna nyemitterade aktier: </w:t>
      </w:r>
    </w:p>
    <w:tbl>
      <w:tblPr>
        <w:tblStyle w:val="Tabellrutnt"/>
        <w:tblW w:w="0" w:type="auto"/>
        <w:tblInd w:w="131" w:type="dxa"/>
        <w:tblLook w:val="04A0" w:firstRow="1" w:lastRow="0" w:firstColumn="1" w:lastColumn="0" w:noHBand="0" w:noVBand="1"/>
      </w:tblPr>
      <w:tblGrid>
        <w:gridCol w:w="3274"/>
        <w:gridCol w:w="2964"/>
        <w:gridCol w:w="2647"/>
      </w:tblGrid>
      <w:tr w:rsidR="007742C4" w:rsidRPr="00A9019D" w14:paraId="1C765CE7" w14:textId="77777777" w:rsidTr="00231DDB">
        <w:tc>
          <w:tcPr>
            <w:tcW w:w="3423" w:type="dxa"/>
          </w:tcPr>
          <w:p w14:paraId="13D0C20A" w14:textId="46FCCFD0" w:rsidR="007742C4" w:rsidRPr="00A9019D" w:rsidRDefault="007742C4" w:rsidP="00231DDB">
            <w:pPr>
              <w:pStyle w:val="Brdtext"/>
              <w:keepLines/>
              <w:widowControl/>
              <w:spacing w:before="151"/>
              <w:ind w:right="475"/>
              <w:rPr>
                <w:b/>
                <w:bCs/>
              </w:rPr>
            </w:pPr>
            <w:r w:rsidRPr="00A9019D">
              <w:rPr>
                <w:b/>
                <w:bCs/>
                <w:lang w:val="sv-SE"/>
              </w:rPr>
              <w:t xml:space="preserve"> </w:t>
            </w:r>
            <w:r w:rsidRPr="00A9019D">
              <w:rPr>
                <w:b/>
                <w:bCs/>
              </w:rPr>
              <w:t>Teckningsberättigade fordringsägare</w:t>
            </w:r>
          </w:p>
        </w:tc>
        <w:tc>
          <w:tcPr>
            <w:tcW w:w="3384" w:type="dxa"/>
          </w:tcPr>
          <w:p w14:paraId="4AB0A58A" w14:textId="77777777" w:rsidR="007742C4" w:rsidRPr="00A9019D" w:rsidRDefault="007742C4" w:rsidP="00231DDB">
            <w:pPr>
              <w:pStyle w:val="Brdtext"/>
              <w:keepLines/>
              <w:widowControl/>
              <w:spacing w:before="151"/>
              <w:ind w:left="-532" w:right="475" w:firstLine="532"/>
              <w:rPr>
                <w:b/>
                <w:bCs/>
              </w:rPr>
            </w:pPr>
            <w:r w:rsidRPr="00A9019D">
              <w:rPr>
                <w:b/>
                <w:bCs/>
              </w:rPr>
              <w:t>Högst antal aktier</w:t>
            </w:r>
          </w:p>
        </w:tc>
        <w:tc>
          <w:tcPr>
            <w:tcW w:w="2838" w:type="dxa"/>
          </w:tcPr>
          <w:p w14:paraId="75CB89E7" w14:textId="77777777" w:rsidR="007742C4" w:rsidRPr="00A9019D" w:rsidRDefault="007742C4" w:rsidP="00231DDB">
            <w:pPr>
              <w:pStyle w:val="Brdtext"/>
              <w:keepLines/>
              <w:widowControl/>
              <w:spacing w:before="151"/>
              <w:ind w:left="-532" w:right="475" w:firstLine="532"/>
              <w:rPr>
                <w:b/>
                <w:bCs/>
              </w:rPr>
            </w:pPr>
            <w:r w:rsidRPr="00A9019D">
              <w:rPr>
                <w:b/>
                <w:bCs/>
              </w:rPr>
              <w:t>Belopp (SEK)</w:t>
            </w:r>
          </w:p>
        </w:tc>
      </w:tr>
      <w:tr w:rsidR="007742C4" w:rsidRPr="00A9019D" w14:paraId="3416E061" w14:textId="77777777" w:rsidTr="00231DDB">
        <w:tc>
          <w:tcPr>
            <w:tcW w:w="3423" w:type="dxa"/>
          </w:tcPr>
          <w:p w14:paraId="03D6D8AC" w14:textId="77777777" w:rsidR="007742C4" w:rsidRPr="00A9019D" w:rsidRDefault="007742C4" w:rsidP="00231DDB">
            <w:pPr>
              <w:pStyle w:val="Brdtext"/>
              <w:keepLines/>
              <w:widowControl/>
              <w:spacing w:before="151"/>
              <w:ind w:left="-532" w:right="475" w:firstLine="532"/>
            </w:pPr>
            <w:r w:rsidRPr="00A9019D">
              <w:t>Lars Byström</w:t>
            </w:r>
          </w:p>
        </w:tc>
        <w:tc>
          <w:tcPr>
            <w:tcW w:w="3384" w:type="dxa"/>
          </w:tcPr>
          <w:p w14:paraId="6442EE49" w14:textId="77777777" w:rsidR="007742C4" w:rsidRPr="00A9019D" w:rsidRDefault="007742C4" w:rsidP="00231DDB">
            <w:pPr>
              <w:pStyle w:val="Brdtext"/>
              <w:keepLines/>
              <w:widowControl/>
              <w:spacing w:before="151"/>
              <w:ind w:left="-532" w:right="475" w:firstLine="532"/>
            </w:pPr>
            <w:r w:rsidRPr="00A9019D">
              <w:t>568 181</w:t>
            </w:r>
          </w:p>
        </w:tc>
        <w:tc>
          <w:tcPr>
            <w:tcW w:w="2838" w:type="dxa"/>
          </w:tcPr>
          <w:p w14:paraId="76BC625F" w14:textId="77777777" w:rsidR="007742C4" w:rsidRPr="00A9019D" w:rsidRDefault="007742C4" w:rsidP="00231DDB">
            <w:pPr>
              <w:pStyle w:val="Brdtext"/>
              <w:keepLines/>
              <w:widowControl/>
              <w:spacing w:before="151"/>
              <w:ind w:left="-532" w:right="475" w:firstLine="532"/>
            </w:pPr>
            <w:r w:rsidRPr="00A9019D">
              <w:t>624 999,10</w:t>
            </w:r>
          </w:p>
        </w:tc>
      </w:tr>
      <w:tr w:rsidR="007742C4" w:rsidRPr="00A9019D" w14:paraId="08CF8185" w14:textId="77777777" w:rsidTr="00231DDB">
        <w:tc>
          <w:tcPr>
            <w:tcW w:w="3423" w:type="dxa"/>
          </w:tcPr>
          <w:p w14:paraId="6CAACB78" w14:textId="77777777" w:rsidR="007742C4" w:rsidRPr="00A9019D" w:rsidRDefault="007742C4" w:rsidP="00231DDB">
            <w:pPr>
              <w:pStyle w:val="Brdtext"/>
              <w:keepLines/>
              <w:widowControl/>
              <w:spacing w:before="151"/>
              <w:ind w:left="-532" w:right="475" w:firstLine="532"/>
            </w:pPr>
            <w:r w:rsidRPr="00A9019D">
              <w:t>Thomas Ekerborn</w:t>
            </w:r>
          </w:p>
        </w:tc>
        <w:tc>
          <w:tcPr>
            <w:tcW w:w="3384" w:type="dxa"/>
          </w:tcPr>
          <w:p w14:paraId="6F4C9973" w14:textId="77777777" w:rsidR="007742C4" w:rsidRPr="00A9019D" w:rsidRDefault="007742C4" w:rsidP="00231DDB">
            <w:pPr>
              <w:pStyle w:val="Brdtext"/>
              <w:keepLines/>
              <w:widowControl/>
              <w:spacing w:before="151"/>
              <w:ind w:left="-532" w:right="475" w:firstLine="532"/>
            </w:pPr>
            <w:r w:rsidRPr="00A9019D">
              <w:t>568 181</w:t>
            </w:r>
          </w:p>
        </w:tc>
        <w:tc>
          <w:tcPr>
            <w:tcW w:w="2838" w:type="dxa"/>
          </w:tcPr>
          <w:p w14:paraId="68A7CF7B" w14:textId="77777777" w:rsidR="007742C4" w:rsidRPr="00A9019D" w:rsidRDefault="007742C4" w:rsidP="00231DDB">
            <w:pPr>
              <w:pStyle w:val="Brdtext"/>
              <w:keepLines/>
              <w:widowControl/>
              <w:spacing w:before="151"/>
              <w:ind w:left="-532" w:right="475" w:firstLine="532"/>
            </w:pPr>
            <w:r w:rsidRPr="00A9019D">
              <w:t>624 999,10</w:t>
            </w:r>
          </w:p>
        </w:tc>
      </w:tr>
      <w:tr w:rsidR="007742C4" w:rsidRPr="00A9019D" w14:paraId="226E5E9E" w14:textId="77777777" w:rsidTr="00231DDB">
        <w:tc>
          <w:tcPr>
            <w:tcW w:w="3423" w:type="dxa"/>
          </w:tcPr>
          <w:p w14:paraId="1BA88B02" w14:textId="77777777" w:rsidR="007742C4" w:rsidRPr="00A9019D" w:rsidRDefault="007742C4" w:rsidP="00231DDB">
            <w:pPr>
              <w:pStyle w:val="Brdtext"/>
              <w:keepLines/>
              <w:widowControl/>
              <w:spacing w:before="151"/>
              <w:ind w:left="-532" w:right="475" w:firstLine="532"/>
            </w:pPr>
            <w:r w:rsidRPr="00A9019D">
              <w:t>TillCe AB</w:t>
            </w:r>
          </w:p>
        </w:tc>
        <w:tc>
          <w:tcPr>
            <w:tcW w:w="3384" w:type="dxa"/>
          </w:tcPr>
          <w:p w14:paraId="2BE98E57" w14:textId="77777777" w:rsidR="007742C4" w:rsidRPr="00A9019D" w:rsidRDefault="007742C4" w:rsidP="00231DDB">
            <w:pPr>
              <w:pStyle w:val="Brdtext"/>
              <w:keepLines/>
              <w:widowControl/>
              <w:spacing w:before="151"/>
              <w:ind w:left="-532" w:right="475" w:firstLine="532"/>
            </w:pPr>
            <w:r w:rsidRPr="00A9019D">
              <w:t>2 727 272</w:t>
            </w:r>
          </w:p>
        </w:tc>
        <w:tc>
          <w:tcPr>
            <w:tcW w:w="2838" w:type="dxa"/>
          </w:tcPr>
          <w:p w14:paraId="3A066570" w14:textId="77777777" w:rsidR="007742C4" w:rsidRPr="00A9019D" w:rsidRDefault="007742C4" w:rsidP="00231DDB">
            <w:pPr>
              <w:pStyle w:val="Brdtext"/>
              <w:keepLines/>
              <w:widowControl/>
              <w:spacing w:before="151"/>
              <w:ind w:left="-532" w:right="475" w:firstLine="532"/>
            </w:pPr>
            <w:r w:rsidRPr="00A9019D">
              <w:t>2 999 999,20</w:t>
            </w:r>
          </w:p>
        </w:tc>
      </w:tr>
      <w:tr w:rsidR="007742C4" w:rsidRPr="00A9019D" w14:paraId="51613365" w14:textId="77777777" w:rsidTr="00231DDB">
        <w:tc>
          <w:tcPr>
            <w:tcW w:w="3423" w:type="dxa"/>
          </w:tcPr>
          <w:p w14:paraId="7F30A092" w14:textId="77777777" w:rsidR="007742C4" w:rsidRPr="00A9019D" w:rsidRDefault="007742C4" w:rsidP="00231DDB">
            <w:pPr>
              <w:pStyle w:val="Brdtext"/>
              <w:keepLines/>
              <w:widowControl/>
              <w:spacing w:before="151"/>
              <w:ind w:left="-532" w:right="475" w:firstLine="532"/>
              <w:rPr>
                <w:b/>
                <w:bCs/>
              </w:rPr>
            </w:pPr>
            <w:r w:rsidRPr="00A9019D">
              <w:rPr>
                <w:b/>
                <w:bCs/>
              </w:rPr>
              <w:t xml:space="preserve">Totalt </w:t>
            </w:r>
          </w:p>
        </w:tc>
        <w:tc>
          <w:tcPr>
            <w:tcW w:w="3384" w:type="dxa"/>
          </w:tcPr>
          <w:p w14:paraId="078D04B1" w14:textId="77777777" w:rsidR="007742C4" w:rsidRPr="00A9019D" w:rsidRDefault="007742C4" w:rsidP="00231DDB">
            <w:pPr>
              <w:pStyle w:val="Brdtext"/>
              <w:keepLines/>
              <w:widowControl/>
              <w:spacing w:before="151"/>
              <w:ind w:left="-532" w:right="475" w:firstLine="532"/>
              <w:rPr>
                <w:b/>
                <w:bCs/>
              </w:rPr>
            </w:pPr>
            <w:r w:rsidRPr="00A9019D">
              <w:rPr>
                <w:b/>
                <w:bCs/>
              </w:rPr>
              <w:t>3 863 634</w:t>
            </w:r>
          </w:p>
        </w:tc>
        <w:tc>
          <w:tcPr>
            <w:tcW w:w="2838" w:type="dxa"/>
          </w:tcPr>
          <w:p w14:paraId="47F9B352" w14:textId="77777777" w:rsidR="007742C4" w:rsidRPr="00A9019D" w:rsidRDefault="007742C4" w:rsidP="00231DDB">
            <w:pPr>
              <w:pStyle w:val="Brdtext"/>
              <w:keepLines/>
              <w:widowControl/>
              <w:spacing w:before="151"/>
              <w:ind w:left="-532" w:right="475" w:firstLine="532"/>
              <w:rPr>
                <w:b/>
                <w:bCs/>
              </w:rPr>
            </w:pPr>
            <w:r w:rsidRPr="00A9019D">
              <w:rPr>
                <w:b/>
                <w:bCs/>
              </w:rPr>
              <w:t>4 249 997,40</w:t>
            </w:r>
          </w:p>
        </w:tc>
      </w:tr>
    </w:tbl>
    <w:p w14:paraId="25B3EDE0" w14:textId="77777777" w:rsidR="00E411BD" w:rsidRPr="00A9019D" w:rsidRDefault="00E411BD" w:rsidP="00EF73DC">
      <w:pPr>
        <w:jc w:val="both"/>
        <w:rPr>
          <w:rFonts w:ascii="Calibri" w:hAnsi="Calibri" w:cs="Calibri"/>
        </w:rPr>
      </w:pPr>
    </w:p>
    <w:p w14:paraId="223117B9" w14:textId="2D641724" w:rsidR="004F0840" w:rsidRPr="00A9019D" w:rsidRDefault="004F0840" w:rsidP="004F0840">
      <w:pPr>
        <w:jc w:val="both"/>
        <w:rPr>
          <w:rFonts w:ascii="Calibri" w:hAnsi="Calibri" w:cs="Calibri"/>
        </w:rPr>
      </w:pPr>
      <w:r w:rsidRPr="00A9019D">
        <w:rPr>
          <w:rFonts w:ascii="Calibri" w:hAnsi="Calibri" w:cs="Calibri"/>
        </w:rPr>
        <w:t xml:space="preserve">Bolagets styrelse har gjort en samlad bedömning och noga övervägt att anskaffa det nödvändiga kapitalet enbart genom en företrädesemission men har gjort bedömningen att det, av flera skäl, är fördelaktigt för Bolaget och aktieägarna att </w:t>
      </w:r>
      <w:r w:rsidR="00E32FE1" w:rsidRPr="00A9019D">
        <w:rPr>
          <w:rFonts w:ascii="Calibri" w:hAnsi="Calibri" w:cs="Calibri"/>
        </w:rPr>
        <w:t xml:space="preserve">minska Bolagets skulder </w:t>
      </w:r>
      <w:r w:rsidRPr="00A9019D">
        <w:rPr>
          <w:rFonts w:ascii="Calibri" w:hAnsi="Calibri" w:cs="Calibri"/>
        </w:rPr>
        <w:t xml:space="preserve">genom </w:t>
      </w:r>
      <w:r w:rsidR="00E32FE1" w:rsidRPr="00A9019D">
        <w:rPr>
          <w:rFonts w:ascii="Calibri" w:hAnsi="Calibri" w:cs="Calibri"/>
        </w:rPr>
        <w:t>kvittningsemissionen</w:t>
      </w:r>
      <w:r w:rsidRPr="00A9019D">
        <w:rPr>
          <w:rFonts w:ascii="Calibri" w:hAnsi="Calibri" w:cs="Calibri"/>
        </w:rPr>
        <w:t xml:space="preserve">. Efter en samlad bedömning, och med beaktande av rådande marknadsläge och Bolagets finansiella ställning, anser styrelsen att det på objektiva grunder ligger i Bolagets och aktieägarnas intresse att genomföra </w:t>
      </w:r>
      <w:r w:rsidR="00E32FE1" w:rsidRPr="00A9019D">
        <w:rPr>
          <w:rFonts w:ascii="Calibri" w:hAnsi="Calibri" w:cs="Calibri"/>
        </w:rPr>
        <w:t>kvittningsemissionen</w:t>
      </w:r>
      <w:r w:rsidRPr="00A9019D">
        <w:rPr>
          <w:rFonts w:ascii="Calibri" w:hAnsi="Calibri" w:cs="Calibri"/>
        </w:rPr>
        <w:t xml:space="preserve"> enligt ovan presenterade villkor. Styrelsen har i sin bedömning gjort övervägandena att </w:t>
      </w:r>
      <w:r w:rsidR="00E32FE1" w:rsidRPr="00A9019D">
        <w:rPr>
          <w:rFonts w:ascii="Calibri" w:hAnsi="Calibri" w:cs="Calibri"/>
        </w:rPr>
        <w:t>kvittningsemissionen</w:t>
      </w:r>
      <w:r w:rsidRPr="00A9019D">
        <w:rPr>
          <w:rFonts w:ascii="Calibri" w:hAnsi="Calibri" w:cs="Calibri"/>
        </w:rPr>
        <w:t xml:space="preserve"> kommer att stärka Bolagets finansiella ställning och förbättra Bolagets kassaflöde genom att delvisa utestående lån kvittas mot aktier i Bolaget som därmed minskar Bolagets skuldbörda med maximalt 4 249 997,40 SEK. </w:t>
      </w:r>
    </w:p>
    <w:p w14:paraId="3A004B88" w14:textId="77777777" w:rsidR="00A9019D" w:rsidRPr="00A9019D" w:rsidRDefault="004F0840" w:rsidP="00A9019D">
      <w:pPr>
        <w:jc w:val="both"/>
      </w:pPr>
      <w:r w:rsidRPr="00A9019D">
        <w:rPr>
          <w:rFonts w:ascii="Calibri" w:hAnsi="Calibri" w:cs="Calibri"/>
        </w:rPr>
        <w:t xml:space="preserve">Enbart en företrädesemission skulle vara betydligt mer resurskrävande, särskilt till följd av kostnader relaterade till garantiupphandling och eventuell rabatt. Styrelsen har utvärderat olika scenarier vilka visat att en garanterad företrädesemission skulle ha varit betydligt mer kostsam än </w:t>
      </w:r>
      <w:r w:rsidR="00A9019D">
        <w:rPr>
          <w:rFonts w:ascii="Calibri" w:hAnsi="Calibri" w:cs="Calibri"/>
        </w:rPr>
        <w:t>kvittningsemissionen</w:t>
      </w:r>
      <w:r w:rsidRPr="00A9019D">
        <w:rPr>
          <w:rFonts w:ascii="Calibri" w:hAnsi="Calibri" w:cs="Calibri"/>
        </w:rPr>
        <w:t xml:space="preserve"> och </w:t>
      </w:r>
      <w:r w:rsidR="00D74D9B" w:rsidRPr="00A9019D">
        <w:rPr>
          <w:rFonts w:ascii="Calibri" w:hAnsi="Calibri" w:cs="Calibri"/>
        </w:rPr>
        <w:t>en företrädesemission</w:t>
      </w:r>
      <w:r w:rsidRPr="00A9019D">
        <w:rPr>
          <w:rFonts w:ascii="Calibri" w:hAnsi="Calibri" w:cs="Calibri"/>
        </w:rPr>
        <w:t xml:space="preserve">. Aktieägare har möjlighet att skydda sig mot </w:t>
      </w:r>
      <w:r w:rsidRPr="00A9019D">
        <w:rPr>
          <w:rFonts w:ascii="Calibri" w:hAnsi="Calibri" w:cs="Calibri"/>
        </w:rPr>
        <w:lastRenderedPageBreak/>
        <w:t xml:space="preserve">utspädning genom deltagande i den föreslagna </w:t>
      </w:r>
      <w:r w:rsidR="00D74D9B" w:rsidRPr="00A9019D">
        <w:rPr>
          <w:rFonts w:ascii="Calibri" w:hAnsi="Calibri" w:cs="Calibri"/>
        </w:rPr>
        <w:t>företrädesemissionen</w:t>
      </w:r>
      <w:r w:rsidRPr="00A9019D">
        <w:rPr>
          <w:rFonts w:ascii="Calibri" w:hAnsi="Calibri" w:cs="Calibri"/>
        </w:rPr>
        <w:t xml:space="preserve"> och därmed försvara sin ägarandel i Bolaget. </w:t>
      </w:r>
      <w:r w:rsidR="00A9019D" w:rsidRPr="00A9019D">
        <w:rPr>
          <w:rFonts w:ascii="Calibri" w:hAnsi="Calibri" w:cs="Calibri"/>
        </w:rPr>
        <w:t>Styrelsen gör sammantaget bedömningen att skälen för att genomföra kvittningsemissionen med avvikelse från aktieägarnas företrädesrätt överväger skälen för huvudregeln om företrädesrätt.</w:t>
      </w:r>
      <w:r w:rsidR="00A9019D" w:rsidRPr="00A9019D">
        <w:t xml:space="preserve"> </w:t>
      </w:r>
    </w:p>
    <w:p w14:paraId="2CE81C07" w14:textId="30FA58CA" w:rsidR="00C339C9" w:rsidRPr="00A9019D" w:rsidRDefault="00C339C9" w:rsidP="003F63EC">
      <w:pPr>
        <w:keepNext/>
        <w:keepLines/>
        <w:jc w:val="both"/>
        <w:rPr>
          <w:rFonts w:ascii="Calibri" w:hAnsi="Calibri" w:cs="Calibri"/>
          <w:b/>
          <w:bCs/>
        </w:rPr>
      </w:pPr>
      <w:r w:rsidRPr="00A9019D">
        <w:rPr>
          <w:rFonts w:ascii="Calibri" w:hAnsi="Calibri" w:cs="Calibri"/>
          <w:b/>
          <w:bCs/>
        </w:rPr>
        <w:t>Teckningstid</w:t>
      </w:r>
    </w:p>
    <w:p w14:paraId="3488C0EA" w14:textId="32FD6351" w:rsidR="00721AE5" w:rsidRPr="00A9019D" w:rsidRDefault="00721AE5" w:rsidP="00721AE5">
      <w:pPr>
        <w:jc w:val="both"/>
        <w:rPr>
          <w:rFonts w:ascii="Calibri" w:hAnsi="Calibri" w:cs="Calibri"/>
        </w:rPr>
      </w:pPr>
      <w:r w:rsidRPr="00A9019D">
        <w:rPr>
          <w:rFonts w:ascii="Calibri" w:hAnsi="Calibri" w:cs="Calibri"/>
        </w:rPr>
        <w:t xml:space="preserve">Teckning av de nya aktierna ska ske på teckningslista senast den </w:t>
      </w:r>
      <w:r w:rsidR="007742C4" w:rsidRPr="00A9019D">
        <w:rPr>
          <w:rFonts w:ascii="Calibri" w:hAnsi="Calibri" w:cs="Calibri"/>
        </w:rPr>
        <w:t>10</w:t>
      </w:r>
      <w:r w:rsidRPr="00A9019D">
        <w:rPr>
          <w:rFonts w:ascii="Calibri" w:hAnsi="Calibri" w:cs="Calibri"/>
        </w:rPr>
        <w:t xml:space="preserve"> </w:t>
      </w:r>
      <w:r w:rsidR="007D1F00" w:rsidRPr="00A9019D">
        <w:rPr>
          <w:rFonts w:ascii="Calibri" w:hAnsi="Calibri" w:cs="Calibri"/>
        </w:rPr>
        <w:t>juli</w:t>
      </w:r>
      <w:r w:rsidRPr="00A9019D">
        <w:rPr>
          <w:rFonts w:ascii="Calibri" w:hAnsi="Calibri" w:cs="Calibri"/>
        </w:rPr>
        <w:t xml:space="preserve"> 202</w:t>
      </w:r>
      <w:r w:rsidR="007D1F00" w:rsidRPr="00A9019D">
        <w:rPr>
          <w:rFonts w:ascii="Calibri" w:hAnsi="Calibri" w:cs="Calibri"/>
        </w:rPr>
        <w:t>6</w:t>
      </w:r>
      <w:r w:rsidRPr="00A9019D">
        <w:rPr>
          <w:rFonts w:ascii="Calibri" w:hAnsi="Calibri" w:cs="Calibri"/>
        </w:rPr>
        <w:t>. Styrelsen ska ha rätt att förlänga teckningstiden. Överteckning kan inte ske.</w:t>
      </w:r>
    </w:p>
    <w:p w14:paraId="2BADFA19" w14:textId="66BA97EE" w:rsidR="00437B06" w:rsidRPr="00A9019D" w:rsidRDefault="00437B06" w:rsidP="00684AA6">
      <w:pPr>
        <w:jc w:val="both"/>
        <w:rPr>
          <w:rFonts w:ascii="Calibri" w:hAnsi="Calibri" w:cs="Calibri"/>
          <w:b/>
          <w:bCs/>
        </w:rPr>
      </w:pPr>
      <w:r w:rsidRPr="00A9019D">
        <w:rPr>
          <w:rFonts w:ascii="Calibri" w:hAnsi="Calibri" w:cs="Calibri"/>
          <w:b/>
          <w:bCs/>
        </w:rPr>
        <w:t xml:space="preserve">Betalning </w:t>
      </w:r>
      <w:r w:rsidR="00FA1108" w:rsidRPr="00A9019D">
        <w:rPr>
          <w:rFonts w:ascii="Calibri" w:hAnsi="Calibri" w:cs="Calibri"/>
          <w:b/>
          <w:bCs/>
        </w:rPr>
        <w:t>(kvittning)</w:t>
      </w:r>
    </w:p>
    <w:p w14:paraId="719FA5D8" w14:textId="693714E9" w:rsidR="00DF0112" w:rsidRPr="00A9019D" w:rsidRDefault="00DF0112" w:rsidP="00684AA6">
      <w:pPr>
        <w:jc w:val="both"/>
        <w:rPr>
          <w:rFonts w:ascii="Calibri" w:hAnsi="Calibri" w:cs="Calibri"/>
        </w:rPr>
      </w:pPr>
      <w:r w:rsidRPr="00A9019D">
        <w:rPr>
          <w:rFonts w:ascii="Calibri" w:hAnsi="Calibri" w:cs="Calibri"/>
        </w:rPr>
        <w:t xml:space="preserve">Betalning för de tecknade aktierna ska ske genom kvittning av </w:t>
      </w:r>
      <w:r w:rsidR="00E411BD" w:rsidRPr="00A9019D">
        <w:rPr>
          <w:rFonts w:ascii="Calibri" w:hAnsi="Calibri" w:cs="Calibri"/>
        </w:rPr>
        <w:t xml:space="preserve">de teckningsberättigades </w:t>
      </w:r>
      <w:r w:rsidRPr="00A9019D">
        <w:rPr>
          <w:rFonts w:ascii="Calibri" w:hAnsi="Calibri" w:cs="Calibri"/>
        </w:rPr>
        <w:t>respektive fordringar på Bolaget enligt följande uppställning:</w:t>
      </w:r>
    </w:p>
    <w:p w14:paraId="68E216B8" w14:textId="3DD7E79A" w:rsidR="00DF0112" w:rsidRPr="00A9019D" w:rsidRDefault="00DF0112" w:rsidP="00DF0112">
      <w:pPr>
        <w:jc w:val="both"/>
        <w:rPr>
          <w:rFonts w:ascii="Calibri" w:hAnsi="Calibri" w:cs="Calibri"/>
        </w:rPr>
      </w:pPr>
      <w:r w:rsidRPr="00A9019D">
        <w:rPr>
          <w:rFonts w:ascii="Calibri" w:hAnsi="Calibri" w:cs="Calibri"/>
        </w:rPr>
        <w:t>1. Lars Byström</w:t>
      </w:r>
      <w:r w:rsidR="007742C4" w:rsidRPr="00A9019D">
        <w:rPr>
          <w:rFonts w:ascii="Calibri" w:hAnsi="Calibri" w:cs="Calibri"/>
        </w:rPr>
        <w:t xml:space="preserve"> </w:t>
      </w:r>
      <w:r w:rsidRPr="00A9019D">
        <w:rPr>
          <w:rFonts w:ascii="Calibri" w:hAnsi="Calibri" w:cs="Calibri"/>
        </w:rPr>
        <w:t xml:space="preserve">kvittar en fordran om </w:t>
      </w:r>
      <w:r w:rsidR="00774497" w:rsidRPr="00A9019D">
        <w:rPr>
          <w:rFonts w:ascii="Calibri" w:hAnsi="Calibri" w:cs="Calibri"/>
        </w:rPr>
        <w:t>624 999,10 kronor</w:t>
      </w:r>
      <w:r w:rsidRPr="00A9019D">
        <w:rPr>
          <w:rFonts w:ascii="Calibri" w:hAnsi="Calibri" w:cs="Calibri"/>
        </w:rPr>
        <w:t>.</w:t>
      </w:r>
    </w:p>
    <w:p w14:paraId="448E8475" w14:textId="1EDCDC3C" w:rsidR="00DF0112" w:rsidRPr="00A9019D" w:rsidRDefault="00DF0112" w:rsidP="00DF0112">
      <w:pPr>
        <w:jc w:val="both"/>
        <w:rPr>
          <w:rFonts w:ascii="Calibri" w:hAnsi="Calibri" w:cs="Calibri"/>
        </w:rPr>
      </w:pPr>
      <w:r w:rsidRPr="00A9019D">
        <w:rPr>
          <w:rFonts w:ascii="Calibri" w:hAnsi="Calibri" w:cs="Calibri"/>
        </w:rPr>
        <w:t>2. Thomas Ekerborn</w:t>
      </w:r>
      <w:r w:rsidR="007742C4" w:rsidRPr="00A9019D">
        <w:rPr>
          <w:rFonts w:ascii="Calibri" w:hAnsi="Calibri" w:cs="Calibri"/>
        </w:rPr>
        <w:t xml:space="preserve"> </w:t>
      </w:r>
      <w:r w:rsidRPr="00A9019D">
        <w:rPr>
          <w:rFonts w:ascii="Calibri" w:hAnsi="Calibri" w:cs="Calibri"/>
        </w:rPr>
        <w:t xml:space="preserve">kvittar en fordran om </w:t>
      </w:r>
      <w:r w:rsidR="00225BCE" w:rsidRPr="00A9019D">
        <w:rPr>
          <w:rFonts w:ascii="Calibri" w:hAnsi="Calibri" w:cs="Calibri"/>
        </w:rPr>
        <w:t>624 999,10</w:t>
      </w:r>
      <w:r w:rsidRPr="00A9019D">
        <w:rPr>
          <w:rFonts w:ascii="Calibri" w:hAnsi="Calibri" w:cs="Calibri"/>
        </w:rPr>
        <w:t xml:space="preserve"> </w:t>
      </w:r>
      <w:r w:rsidR="00225BCE" w:rsidRPr="00A9019D">
        <w:rPr>
          <w:rFonts w:ascii="Calibri" w:hAnsi="Calibri" w:cs="Calibri"/>
        </w:rPr>
        <w:t>kronor</w:t>
      </w:r>
      <w:r w:rsidRPr="00A9019D">
        <w:rPr>
          <w:rFonts w:ascii="Calibri" w:hAnsi="Calibri" w:cs="Calibri"/>
        </w:rPr>
        <w:t>.</w:t>
      </w:r>
    </w:p>
    <w:p w14:paraId="2A7C60C2" w14:textId="2D1484FC" w:rsidR="00DF0112" w:rsidRPr="00A9019D" w:rsidRDefault="00DF0112" w:rsidP="00DF0112">
      <w:pPr>
        <w:jc w:val="both"/>
        <w:rPr>
          <w:rFonts w:ascii="Calibri" w:hAnsi="Calibri" w:cs="Calibri"/>
        </w:rPr>
      </w:pPr>
      <w:r w:rsidRPr="00A9019D">
        <w:rPr>
          <w:rFonts w:ascii="Calibri" w:hAnsi="Calibri" w:cs="Calibri"/>
        </w:rPr>
        <w:t xml:space="preserve">3. TillCe Aktiebolag, org.nr. 556589-7336, kvittar en fordran om </w:t>
      </w:r>
      <w:r w:rsidR="00E54E08" w:rsidRPr="00A9019D">
        <w:rPr>
          <w:rFonts w:ascii="Calibri" w:hAnsi="Calibri" w:cs="Calibri"/>
        </w:rPr>
        <w:t>2 999 999,20</w:t>
      </w:r>
      <w:r w:rsidRPr="00A9019D">
        <w:rPr>
          <w:rFonts w:ascii="Calibri" w:hAnsi="Calibri" w:cs="Calibri"/>
        </w:rPr>
        <w:t xml:space="preserve"> </w:t>
      </w:r>
      <w:r w:rsidR="00E54E08" w:rsidRPr="00A9019D">
        <w:rPr>
          <w:rFonts w:ascii="Calibri" w:hAnsi="Calibri" w:cs="Calibri"/>
        </w:rPr>
        <w:t>kronor</w:t>
      </w:r>
      <w:r w:rsidRPr="00A9019D">
        <w:rPr>
          <w:rFonts w:ascii="Calibri" w:hAnsi="Calibri" w:cs="Calibri"/>
        </w:rPr>
        <w:t>.</w:t>
      </w:r>
    </w:p>
    <w:p w14:paraId="7A45F557" w14:textId="6499CD05" w:rsidR="00DF0112" w:rsidRPr="00A9019D" w:rsidRDefault="00DA60F1" w:rsidP="00684AA6">
      <w:pPr>
        <w:jc w:val="both"/>
        <w:rPr>
          <w:rFonts w:ascii="Calibri" w:hAnsi="Calibri" w:cs="Calibri"/>
        </w:rPr>
      </w:pPr>
      <w:r w:rsidRPr="00A9019D">
        <w:rPr>
          <w:rFonts w:ascii="Calibri" w:hAnsi="Calibri" w:cs="Calibri"/>
        </w:rPr>
        <w:t>Kvittning anses verkställd i och med att teckning sker.</w:t>
      </w:r>
      <w:r w:rsidR="007742C4" w:rsidRPr="00A9019D">
        <w:rPr>
          <w:rFonts w:ascii="Calibri" w:hAnsi="Calibri" w:cs="Calibri"/>
        </w:rPr>
        <w:t xml:space="preserve"> Genom kvittningsemissionen minskar Bolagets skuldbörda med 4 249 997,40 SEK. </w:t>
      </w:r>
    </w:p>
    <w:p w14:paraId="220C0BB2" w14:textId="605C9576" w:rsidR="002F6122" w:rsidRPr="00A9019D" w:rsidRDefault="002F6122" w:rsidP="00684AA6">
      <w:pPr>
        <w:jc w:val="both"/>
        <w:rPr>
          <w:rFonts w:ascii="Calibri" w:hAnsi="Calibri" w:cs="Calibri"/>
          <w:b/>
          <w:bCs/>
        </w:rPr>
      </w:pPr>
      <w:r w:rsidRPr="00A9019D">
        <w:rPr>
          <w:rFonts w:ascii="Calibri" w:hAnsi="Calibri" w:cs="Calibri"/>
          <w:b/>
          <w:bCs/>
        </w:rPr>
        <w:t>Vinstutdelning</w:t>
      </w:r>
    </w:p>
    <w:p w14:paraId="60997ED3" w14:textId="02DB2CD0" w:rsidR="00AA2B6B" w:rsidRPr="00A9019D" w:rsidRDefault="003B5E31" w:rsidP="003B5E31">
      <w:pPr>
        <w:jc w:val="both"/>
        <w:rPr>
          <w:rFonts w:ascii="Calibri" w:hAnsi="Calibri" w:cs="Calibri"/>
        </w:rPr>
      </w:pPr>
      <w:r w:rsidRPr="00A9019D">
        <w:rPr>
          <w:rFonts w:ascii="Calibri" w:hAnsi="Calibri" w:cs="Calibri"/>
        </w:rPr>
        <w:t>De nya aktierna medför rätt till utdelning första gången på den avstämningsdag för utdelning som infaller närmast efter det att aktierna registrerats hos Bolagsverket och har blivit införda i den av Euroclear Sweden förda aktieboken.</w:t>
      </w:r>
    </w:p>
    <w:p w14:paraId="739EFDE5" w14:textId="533ADF04" w:rsidR="007742C4" w:rsidRPr="00A9019D" w:rsidRDefault="007742C4" w:rsidP="003B5E31">
      <w:pPr>
        <w:jc w:val="both"/>
        <w:rPr>
          <w:rFonts w:ascii="Calibri" w:hAnsi="Calibri" w:cs="Calibri"/>
          <w:b/>
          <w:bCs/>
        </w:rPr>
      </w:pPr>
      <w:r w:rsidRPr="00A9019D">
        <w:rPr>
          <w:rFonts w:ascii="Calibri" w:hAnsi="Calibri" w:cs="Calibri"/>
          <w:b/>
          <w:bCs/>
        </w:rPr>
        <w:t xml:space="preserve">Villkor </w:t>
      </w:r>
    </w:p>
    <w:p w14:paraId="1FAC6420" w14:textId="1898AB48" w:rsidR="007742C4" w:rsidRPr="00A9019D" w:rsidRDefault="007742C4" w:rsidP="003B5E31">
      <w:pPr>
        <w:jc w:val="both"/>
        <w:rPr>
          <w:rFonts w:ascii="Calibri" w:hAnsi="Calibri" w:cs="Calibri"/>
        </w:rPr>
      </w:pPr>
      <w:r w:rsidRPr="00A9019D">
        <w:rPr>
          <w:rFonts w:ascii="Calibri" w:hAnsi="Calibri" w:cs="Calibri"/>
        </w:rPr>
        <w:t xml:space="preserve">Styrelsens beslut är villkorat av bolagsstämmans efterföljande </w:t>
      </w:r>
      <w:r w:rsidR="008F2657" w:rsidRPr="00A9019D">
        <w:rPr>
          <w:rFonts w:ascii="Calibri" w:hAnsi="Calibri" w:cs="Calibri"/>
        </w:rPr>
        <w:t xml:space="preserve">godkännande </w:t>
      </w:r>
      <w:r w:rsidRPr="00A9019D">
        <w:rPr>
          <w:rFonts w:ascii="Calibri" w:hAnsi="Calibri" w:cs="Calibri"/>
        </w:rPr>
        <w:t>på den extra bolagsstämman den 16 juli 2026 samt därtill villkorat av att den extra bolagsstämman beslutar att godkänna styrelsens beslut om kvittningsemission enligt 16 kap. aktiebolagslagen enligt punkt 8</w:t>
      </w:r>
      <w:r w:rsidR="00D23A24" w:rsidRPr="00A9019D">
        <w:rPr>
          <w:rFonts w:ascii="Calibri" w:hAnsi="Calibri" w:cs="Calibri"/>
        </w:rPr>
        <w:t xml:space="preserve"> </w:t>
      </w:r>
      <w:r w:rsidRPr="00A9019D">
        <w:rPr>
          <w:rFonts w:ascii="Calibri" w:hAnsi="Calibri" w:cs="Calibri"/>
        </w:rPr>
        <w:t xml:space="preserve">enligt dagordningen till kallelsen till extra bolagsstämma den 16 juli 2026. </w:t>
      </w:r>
    </w:p>
    <w:p w14:paraId="478029E8" w14:textId="5F624383" w:rsidR="0065402F" w:rsidRPr="00A9019D" w:rsidRDefault="0065402F" w:rsidP="000D2580">
      <w:pPr>
        <w:jc w:val="both"/>
        <w:rPr>
          <w:rFonts w:ascii="Calibri" w:hAnsi="Calibri" w:cs="Calibri"/>
          <w:b/>
          <w:bCs/>
        </w:rPr>
      </w:pPr>
      <w:r w:rsidRPr="00A9019D">
        <w:rPr>
          <w:rFonts w:ascii="Calibri" w:hAnsi="Calibri" w:cs="Calibri"/>
          <w:b/>
          <w:bCs/>
        </w:rPr>
        <w:t>Bemyndigande</w:t>
      </w:r>
    </w:p>
    <w:p w14:paraId="6F981D51" w14:textId="6DA70CF5" w:rsidR="0065402F" w:rsidRPr="00A9019D" w:rsidRDefault="004216B3" w:rsidP="004216B3">
      <w:pPr>
        <w:jc w:val="both"/>
        <w:rPr>
          <w:rFonts w:ascii="Calibri" w:hAnsi="Calibri" w:cs="Calibri"/>
        </w:rPr>
      </w:pPr>
      <w:r w:rsidRPr="00A9019D">
        <w:rPr>
          <w:rFonts w:ascii="Calibri" w:hAnsi="Calibri" w:cs="Calibri"/>
        </w:rPr>
        <w:t>Styrelsen, eller den styrelsen utser, bemyndigas att vidta smärre justeringar av beslutet som kan krävas för registrering hos Bolagsverket</w:t>
      </w:r>
      <w:r w:rsidR="001E6B4B" w:rsidRPr="00A9019D">
        <w:rPr>
          <w:rFonts w:ascii="Calibri" w:hAnsi="Calibri" w:cs="Calibri"/>
        </w:rPr>
        <w:t xml:space="preserve"> eller Euroclear Sweden</w:t>
      </w:r>
      <w:r w:rsidRPr="00A9019D">
        <w:rPr>
          <w:rFonts w:ascii="Calibri" w:hAnsi="Calibri" w:cs="Calibri"/>
        </w:rPr>
        <w:t>.</w:t>
      </w:r>
    </w:p>
    <w:p w14:paraId="0F6343F5" w14:textId="22F31062" w:rsidR="004B38B4" w:rsidRPr="00A9019D" w:rsidRDefault="004B38B4" w:rsidP="004216B3">
      <w:pPr>
        <w:jc w:val="both"/>
        <w:rPr>
          <w:rFonts w:ascii="Calibri" w:hAnsi="Calibri" w:cs="Calibri"/>
        </w:rPr>
      </w:pPr>
      <w:r w:rsidRPr="00A9019D">
        <w:rPr>
          <w:rFonts w:ascii="Calibri" w:hAnsi="Calibri" w:cs="Calibri"/>
          <w:b/>
          <w:bCs/>
        </w:rPr>
        <w:t>Kompletterande information enligt 13 kap. 6</w:t>
      </w:r>
      <w:r w:rsidR="007742C4" w:rsidRPr="00A9019D">
        <w:rPr>
          <w:rFonts w:ascii="Calibri" w:hAnsi="Calibri" w:cs="Calibri"/>
          <w:b/>
          <w:bCs/>
        </w:rPr>
        <w:t xml:space="preserve"> </w:t>
      </w:r>
      <w:r w:rsidRPr="00A9019D">
        <w:rPr>
          <w:rFonts w:ascii="Calibri" w:hAnsi="Calibri" w:cs="Calibri"/>
          <w:b/>
          <w:bCs/>
        </w:rPr>
        <w:t xml:space="preserve">§ aktiebolagslagen </w:t>
      </w:r>
    </w:p>
    <w:p w14:paraId="30DA577B" w14:textId="0509679C" w:rsidR="00826980" w:rsidRPr="00A9019D" w:rsidRDefault="004B38B4" w:rsidP="004216B3">
      <w:pPr>
        <w:jc w:val="both"/>
        <w:rPr>
          <w:rFonts w:ascii="Calibri" w:hAnsi="Calibri" w:cs="Calibri"/>
        </w:rPr>
      </w:pPr>
      <w:r w:rsidRPr="00A9019D">
        <w:rPr>
          <w:rFonts w:ascii="Calibri" w:hAnsi="Calibri" w:cs="Calibri"/>
        </w:rPr>
        <w:t>Styrelsens redogörelse enligt 13 kap. 6 § aktiebolagslagen för händelser av väsentlig betydelse för bolagets ställning vilka har inträffat efter det att årsredovisningen lämnades</w:t>
      </w:r>
      <w:r w:rsidR="00826980" w:rsidRPr="00A9019D">
        <w:rPr>
          <w:rFonts w:ascii="Calibri" w:hAnsi="Calibri" w:cs="Calibri"/>
        </w:rPr>
        <w:t xml:space="preserve"> jämte </w:t>
      </w:r>
      <w:r w:rsidR="007742C4" w:rsidRPr="00A9019D">
        <w:rPr>
          <w:rFonts w:ascii="Calibri" w:hAnsi="Calibri" w:cs="Calibri"/>
        </w:rPr>
        <w:t xml:space="preserve">revisorns yttrande över denna redogörelse biläggs som </w:t>
      </w:r>
      <w:r w:rsidR="007742C4" w:rsidRPr="00A9019D">
        <w:rPr>
          <w:rFonts w:ascii="Calibri" w:hAnsi="Calibri" w:cs="Calibri"/>
          <w:u w:val="single"/>
        </w:rPr>
        <w:t>bilaga A</w:t>
      </w:r>
      <w:r w:rsidR="007742C4" w:rsidRPr="00A9019D">
        <w:rPr>
          <w:rFonts w:ascii="Calibri" w:hAnsi="Calibri" w:cs="Calibri"/>
        </w:rPr>
        <w:t xml:space="preserve">.   </w:t>
      </w:r>
    </w:p>
    <w:p w14:paraId="6C0A2EBC" w14:textId="6D501CE7" w:rsidR="00826980" w:rsidRPr="00A9019D" w:rsidRDefault="007742C4" w:rsidP="004216B3">
      <w:pPr>
        <w:jc w:val="both"/>
        <w:rPr>
          <w:rFonts w:ascii="Calibri" w:hAnsi="Calibri" w:cs="Calibri"/>
          <w:b/>
          <w:bCs/>
        </w:rPr>
      </w:pPr>
      <w:r w:rsidRPr="00A9019D">
        <w:rPr>
          <w:rFonts w:ascii="Calibri" w:hAnsi="Calibri" w:cs="Calibri"/>
          <w:b/>
          <w:bCs/>
        </w:rPr>
        <w:t xml:space="preserve">Redogörelse och yttrande enligt 13 kap. 7 och 8 §§ aktiebolagslagen </w:t>
      </w:r>
    </w:p>
    <w:p w14:paraId="46481CCA" w14:textId="120B358A" w:rsidR="004B38B4" w:rsidRPr="00A9019D" w:rsidRDefault="007742C4" w:rsidP="004216B3">
      <w:pPr>
        <w:jc w:val="both"/>
        <w:rPr>
          <w:rFonts w:ascii="Calibri" w:hAnsi="Calibri" w:cs="Calibri"/>
        </w:rPr>
      </w:pPr>
      <w:r w:rsidRPr="00A9019D">
        <w:rPr>
          <w:rFonts w:ascii="Calibri" w:hAnsi="Calibri" w:cs="Calibri"/>
        </w:rPr>
        <w:t xml:space="preserve">Styrelsens redogörelse enligt 13 kap. 7 § aktiebolagslagen för de omständigheter som kan vara av vikt vid bedömningen av emissionsvillkoren om kvittningsrätt jämte revisorns yttrade över denna redogörelse biläggs som </w:t>
      </w:r>
      <w:r w:rsidRPr="00A9019D">
        <w:rPr>
          <w:rFonts w:ascii="Calibri" w:hAnsi="Calibri" w:cs="Calibri"/>
          <w:u w:val="single"/>
        </w:rPr>
        <w:t>bilaga B</w:t>
      </w:r>
      <w:r w:rsidRPr="00A9019D">
        <w:rPr>
          <w:rFonts w:ascii="Calibri" w:hAnsi="Calibri" w:cs="Calibri"/>
        </w:rPr>
        <w:t>.</w:t>
      </w:r>
    </w:p>
    <w:p w14:paraId="6277E376" w14:textId="77777777" w:rsidR="00547495" w:rsidRPr="00A9019D" w:rsidRDefault="00547495" w:rsidP="004216B3">
      <w:pPr>
        <w:jc w:val="both"/>
        <w:rPr>
          <w:rFonts w:ascii="Calibri" w:hAnsi="Calibri" w:cs="Calibri"/>
        </w:rPr>
      </w:pPr>
    </w:p>
    <w:p w14:paraId="01AE2722" w14:textId="63FD61F2" w:rsidR="00D115CD" w:rsidRPr="00A9019D" w:rsidRDefault="00D115CD" w:rsidP="003C5FB8">
      <w:pPr>
        <w:rPr>
          <w:rFonts w:ascii="Calibri" w:hAnsi="Calibri" w:cs="Calibri"/>
        </w:rPr>
      </w:pPr>
    </w:p>
    <w:sectPr w:rsidR="00D115CD" w:rsidRPr="00A9019D" w:rsidSect="00992A2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6C10" w14:textId="77777777" w:rsidR="00D6029E" w:rsidRDefault="00D6029E" w:rsidP="009B5FC9">
      <w:pPr>
        <w:spacing w:after="0" w:line="240" w:lineRule="auto"/>
      </w:pPr>
      <w:r>
        <w:separator/>
      </w:r>
    </w:p>
  </w:endnote>
  <w:endnote w:type="continuationSeparator" w:id="0">
    <w:p w14:paraId="0DD33380" w14:textId="77777777" w:rsidR="00D6029E" w:rsidRDefault="00D6029E" w:rsidP="009B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CF79" w14:textId="77777777" w:rsidR="00D6029E" w:rsidRDefault="00D6029E" w:rsidP="009B5FC9">
      <w:pPr>
        <w:spacing w:after="0" w:line="240" w:lineRule="auto"/>
      </w:pPr>
      <w:r>
        <w:separator/>
      </w:r>
    </w:p>
  </w:footnote>
  <w:footnote w:type="continuationSeparator" w:id="0">
    <w:p w14:paraId="0E247D68" w14:textId="77777777" w:rsidR="00D6029E" w:rsidRDefault="00D6029E" w:rsidP="009B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31DA" w14:textId="42090CA9" w:rsidR="009B5FC9" w:rsidRDefault="009B5FC9" w:rsidP="003F63EC">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C60AB"/>
    <w:rsid w:val="000D2580"/>
    <w:rsid w:val="000D5D45"/>
    <w:rsid w:val="000D630C"/>
    <w:rsid w:val="000E6086"/>
    <w:rsid w:val="00110465"/>
    <w:rsid w:val="00121C7F"/>
    <w:rsid w:val="00130CF0"/>
    <w:rsid w:val="00134D04"/>
    <w:rsid w:val="0015315E"/>
    <w:rsid w:val="00156A9D"/>
    <w:rsid w:val="001850EB"/>
    <w:rsid w:val="00194F93"/>
    <w:rsid w:val="001A57BA"/>
    <w:rsid w:val="001A7190"/>
    <w:rsid w:val="001A7693"/>
    <w:rsid w:val="001B046E"/>
    <w:rsid w:val="001C1E24"/>
    <w:rsid w:val="001D2FFC"/>
    <w:rsid w:val="001E6B4B"/>
    <w:rsid w:val="001F665F"/>
    <w:rsid w:val="001F7A5E"/>
    <w:rsid w:val="002160D4"/>
    <w:rsid w:val="00225BCE"/>
    <w:rsid w:val="002576DF"/>
    <w:rsid w:val="00266A4D"/>
    <w:rsid w:val="002811CE"/>
    <w:rsid w:val="00287D91"/>
    <w:rsid w:val="002A25A3"/>
    <w:rsid w:val="002F48E2"/>
    <w:rsid w:val="002F6122"/>
    <w:rsid w:val="003042C3"/>
    <w:rsid w:val="00311493"/>
    <w:rsid w:val="003204CC"/>
    <w:rsid w:val="00335543"/>
    <w:rsid w:val="00336C96"/>
    <w:rsid w:val="00344CC3"/>
    <w:rsid w:val="00357D7A"/>
    <w:rsid w:val="00377EB0"/>
    <w:rsid w:val="003A4F4A"/>
    <w:rsid w:val="003A73E4"/>
    <w:rsid w:val="003B5E31"/>
    <w:rsid w:val="003C5FB8"/>
    <w:rsid w:val="003F63EC"/>
    <w:rsid w:val="004216B3"/>
    <w:rsid w:val="00437B06"/>
    <w:rsid w:val="004A7D7E"/>
    <w:rsid w:val="004B38B4"/>
    <w:rsid w:val="004F0840"/>
    <w:rsid w:val="00501C6A"/>
    <w:rsid w:val="00547495"/>
    <w:rsid w:val="00556085"/>
    <w:rsid w:val="00556727"/>
    <w:rsid w:val="00560CCA"/>
    <w:rsid w:val="00582BCD"/>
    <w:rsid w:val="00584E2C"/>
    <w:rsid w:val="005D6061"/>
    <w:rsid w:val="005D7B04"/>
    <w:rsid w:val="006035A1"/>
    <w:rsid w:val="00623AAE"/>
    <w:rsid w:val="00633909"/>
    <w:rsid w:val="0065402F"/>
    <w:rsid w:val="00684AA6"/>
    <w:rsid w:val="00687BEE"/>
    <w:rsid w:val="00693E10"/>
    <w:rsid w:val="006B5F37"/>
    <w:rsid w:val="006C22DF"/>
    <w:rsid w:val="006C2D89"/>
    <w:rsid w:val="006C7D73"/>
    <w:rsid w:val="00711A6B"/>
    <w:rsid w:val="00721AE5"/>
    <w:rsid w:val="007239E5"/>
    <w:rsid w:val="00742EC9"/>
    <w:rsid w:val="0075619D"/>
    <w:rsid w:val="007742C4"/>
    <w:rsid w:val="00774497"/>
    <w:rsid w:val="007872AA"/>
    <w:rsid w:val="007B5DC1"/>
    <w:rsid w:val="007B74ED"/>
    <w:rsid w:val="007C7F04"/>
    <w:rsid w:val="007D1F00"/>
    <w:rsid w:val="007D6146"/>
    <w:rsid w:val="00811C48"/>
    <w:rsid w:val="00823504"/>
    <w:rsid w:val="00826980"/>
    <w:rsid w:val="0083252F"/>
    <w:rsid w:val="0083275E"/>
    <w:rsid w:val="00846D5D"/>
    <w:rsid w:val="008474C4"/>
    <w:rsid w:val="00865A70"/>
    <w:rsid w:val="0088631F"/>
    <w:rsid w:val="008C4C8B"/>
    <w:rsid w:val="008D1593"/>
    <w:rsid w:val="008D1906"/>
    <w:rsid w:val="008F2657"/>
    <w:rsid w:val="0090429A"/>
    <w:rsid w:val="00927562"/>
    <w:rsid w:val="009402B1"/>
    <w:rsid w:val="00946CFD"/>
    <w:rsid w:val="009656B6"/>
    <w:rsid w:val="00972675"/>
    <w:rsid w:val="009803C1"/>
    <w:rsid w:val="00992A29"/>
    <w:rsid w:val="009A628C"/>
    <w:rsid w:val="009B5FC9"/>
    <w:rsid w:val="00A524B9"/>
    <w:rsid w:val="00A54FAD"/>
    <w:rsid w:val="00A57915"/>
    <w:rsid w:val="00A625AF"/>
    <w:rsid w:val="00A64366"/>
    <w:rsid w:val="00A71524"/>
    <w:rsid w:val="00A71B1B"/>
    <w:rsid w:val="00A81733"/>
    <w:rsid w:val="00A8215B"/>
    <w:rsid w:val="00A9019D"/>
    <w:rsid w:val="00A905C2"/>
    <w:rsid w:val="00AA2B6B"/>
    <w:rsid w:val="00AB4B60"/>
    <w:rsid w:val="00AC5A2A"/>
    <w:rsid w:val="00AC5BD0"/>
    <w:rsid w:val="00AD1886"/>
    <w:rsid w:val="00AD2485"/>
    <w:rsid w:val="00AF3475"/>
    <w:rsid w:val="00AF74D3"/>
    <w:rsid w:val="00B20C30"/>
    <w:rsid w:val="00B3430A"/>
    <w:rsid w:val="00BB74C8"/>
    <w:rsid w:val="00BC236A"/>
    <w:rsid w:val="00BE7224"/>
    <w:rsid w:val="00C068CE"/>
    <w:rsid w:val="00C11849"/>
    <w:rsid w:val="00C2795D"/>
    <w:rsid w:val="00C339C9"/>
    <w:rsid w:val="00C347C6"/>
    <w:rsid w:val="00C352AC"/>
    <w:rsid w:val="00C35348"/>
    <w:rsid w:val="00C37016"/>
    <w:rsid w:val="00C370FA"/>
    <w:rsid w:val="00C43533"/>
    <w:rsid w:val="00C853A9"/>
    <w:rsid w:val="00C91B23"/>
    <w:rsid w:val="00CA6BE3"/>
    <w:rsid w:val="00CE4F6B"/>
    <w:rsid w:val="00CF741A"/>
    <w:rsid w:val="00D115CD"/>
    <w:rsid w:val="00D14514"/>
    <w:rsid w:val="00D202D6"/>
    <w:rsid w:val="00D20ED5"/>
    <w:rsid w:val="00D22B3E"/>
    <w:rsid w:val="00D23A24"/>
    <w:rsid w:val="00D6029E"/>
    <w:rsid w:val="00D736F1"/>
    <w:rsid w:val="00D74D9B"/>
    <w:rsid w:val="00D80CD6"/>
    <w:rsid w:val="00D855F2"/>
    <w:rsid w:val="00D9621F"/>
    <w:rsid w:val="00DA60F1"/>
    <w:rsid w:val="00DE5026"/>
    <w:rsid w:val="00DF0112"/>
    <w:rsid w:val="00DF6A0A"/>
    <w:rsid w:val="00E00652"/>
    <w:rsid w:val="00E07D47"/>
    <w:rsid w:val="00E10199"/>
    <w:rsid w:val="00E30842"/>
    <w:rsid w:val="00E32FE1"/>
    <w:rsid w:val="00E411BD"/>
    <w:rsid w:val="00E44559"/>
    <w:rsid w:val="00E54E08"/>
    <w:rsid w:val="00E73721"/>
    <w:rsid w:val="00E75458"/>
    <w:rsid w:val="00EA3195"/>
    <w:rsid w:val="00EA5EEC"/>
    <w:rsid w:val="00EB74F8"/>
    <w:rsid w:val="00ED379B"/>
    <w:rsid w:val="00EF1B29"/>
    <w:rsid w:val="00EF73DC"/>
    <w:rsid w:val="00F00E07"/>
    <w:rsid w:val="00F2288A"/>
    <w:rsid w:val="00F24C8E"/>
    <w:rsid w:val="00F328B3"/>
    <w:rsid w:val="00F33A96"/>
    <w:rsid w:val="00F42E01"/>
    <w:rsid w:val="00F532BB"/>
    <w:rsid w:val="00F70D23"/>
    <w:rsid w:val="00F72153"/>
    <w:rsid w:val="00F733E5"/>
    <w:rsid w:val="00FA1108"/>
    <w:rsid w:val="00FA738C"/>
    <w:rsid w:val="00FB7B80"/>
    <w:rsid w:val="00FC00AD"/>
    <w:rsid w:val="00FC4B17"/>
    <w:rsid w:val="00FE5F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C68A"/>
  <w15:chartTrackingRefBased/>
  <w15:docId w15:val="{52C598CE-DDA4-41E8-8299-228731B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C2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C2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C22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C22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C22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C22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C22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C22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C22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22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C22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C22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C22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C22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C22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C22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C22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C22DF"/>
    <w:rPr>
      <w:rFonts w:eastAsiaTheme="majorEastAsia" w:cstheme="majorBidi"/>
      <w:color w:val="272727" w:themeColor="text1" w:themeTint="D8"/>
    </w:rPr>
  </w:style>
  <w:style w:type="paragraph" w:styleId="Rubrik">
    <w:name w:val="Title"/>
    <w:basedOn w:val="Normal"/>
    <w:next w:val="Normal"/>
    <w:link w:val="RubrikChar"/>
    <w:uiPriority w:val="10"/>
    <w:qFormat/>
    <w:rsid w:val="006C2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C22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C22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C22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22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C22DF"/>
    <w:rPr>
      <w:i/>
      <w:iCs/>
      <w:color w:val="404040" w:themeColor="text1" w:themeTint="BF"/>
    </w:rPr>
  </w:style>
  <w:style w:type="paragraph" w:styleId="Liststycke">
    <w:name w:val="List Paragraph"/>
    <w:basedOn w:val="Normal"/>
    <w:uiPriority w:val="34"/>
    <w:qFormat/>
    <w:rsid w:val="006C22DF"/>
    <w:pPr>
      <w:ind w:left="720"/>
      <w:contextualSpacing/>
    </w:pPr>
  </w:style>
  <w:style w:type="character" w:styleId="Starkbetoning">
    <w:name w:val="Intense Emphasis"/>
    <w:basedOn w:val="Standardstycketeckensnitt"/>
    <w:uiPriority w:val="21"/>
    <w:qFormat/>
    <w:rsid w:val="006C22DF"/>
    <w:rPr>
      <w:i/>
      <w:iCs/>
      <w:color w:val="0F4761" w:themeColor="accent1" w:themeShade="BF"/>
    </w:rPr>
  </w:style>
  <w:style w:type="paragraph" w:styleId="Starktcitat">
    <w:name w:val="Intense Quote"/>
    <w:basedOn w:val="Normal"/>
    <w:next w:val="Normal"/>
    <w:link w:val="StarktcitatChar"/>
    <w:uiPriority w:val="30"/>
    <w:qFormat/>
    <w:rsid w:val="006C2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C22DF"/>
    <w:rPr>
      <w:i/>
      <w:iCs/>
      <w:color w:val="0F4761" w:themeColor="accent1" w:themeShade="BF"/>
    </w:rPr>
  </w:style>
  <w:style w:type="character" w:styleId="Starkreferens">
    <w:name w:val="Intense Reference"/>
    <w:basedOn w:val="Standardstycketeckensnitt"/>
    <w:uiPriority w:val="32"/>
    <w:qFormat/>
    <w:rsid w:val="006C22DF"/>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823504"/>
    <w:rPr>
      <w:sz w:val="16"/>
      <w:szCs w:val="16"/>
    </w:rPr>
  </w:style>
  <w:style w:type="paragraph" w:styleId="Kommentarer">
    <w:name w:val="annotation text"/>
    <w:basedOn w:val="Normal"/>
    <w:link w:val="KommentarerChar"/>
    <w:uiPriority w:val="99"/>
    <w:unhideWhenUsed/>
    <w:rsid w:val="00823504"/>
    <w:pPr>
      <w:spacing w:line="240" w:lineRule="auto"/>
    </w:pPr>
    <w:rPr>
      <w:sz w:val="20"/>
      <w:szCs w:val="20"/>
    </w:rPr>
  </w:style>
  <w:style w:type="character" w:customStyle="1" w:styleId="KommentarerChar">
    <w:name w:val="Kommentarer Char"/>
    <w:basedOn w:val="Standardstycketeckensnitt"/>
    <w:link w:val="Kommentarer"/>
    <w:uiPriority w:val="99"/>
    <w:rsid w:val="00823504"/>
    <w:rPr>
      <w:sz w:val="20"/>
      <w:szCs w:val="20"/>
    </w:rPr>
  </w:style>
  <w:style w:type="paragraph" w:styleId="Kommentarsmne">
    <w:name w:val="annotation subject"/>
    <w:basedOn w:val="Kommentarer"/>
    <w:next w:val="Kommentarer"/>
    <w:link w:val="KommentarsmneChar"/>
    <w:uiPriority w:val="99"/>
    <w:semiHidden/>
    <w:unhideWhenUsed/>
    <w:rsid w:val="00823504"/>
    <w:rPr>
      <w:b/>
      <w:bCs/>
    </w:rPr>
  </w:style>
  <w:style w:type="character" w:customStyle="1" w:styleId="KommentarsmneChar">
    <w:name w:val="Kommentarsämne Char"/>
    <w:basedOn w:val="KommentarerChar"/>
    <w:link w:val="Kommentarsmne"/>
    <w:uiPriority w:val="99"/>
    <w:semiHidden/>
    <w:rsid w:val="00823504"/>
    <w:rPr>
      <w:b/>
      <w:bCs/>
      <w:sz w:val="20"/>
      <w:szCs w:val="20"/>
    </w:rPr>
  </w:style>
  <w:style w:type="paragraph" w:styleId="Sidhuvud">
    <w:name w:val="header"/>
    <w:basedOn w:val="Normal"/>
    <w:link w:val="SidhuvudChar"/>
    <w:uiPriority w:val="99"/>
    <w:unhideWhenUsed/>
    <w:rsid w:val="009B5FC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5FC9"/>
  </w:style>
  <w:style w:type="paragraph" w:styleId="Sidfot">
    <w:name w:val="footer"/>
    <w:basedOn w:val="Normal"/>
    <w:link w:val="SidfotChar"/>
    <w:uiPriority w:val="99"/>
    <w:unhideWhenUsed/>
    <w:rsid w:val="009B5FC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5FC9"/>
  </w:style>
  <w:style w:type="paragraph" w:styleId="Revision">
    <w:name w:val="Revision"/>
    <w:hidden/>
    <w:uiPriority w:val="99"/>
    <w:semiHidden/>
    <w:rsid w:val="009B5FC9"/>
    <w:pPr>
      <w:spacing w:after="0" w:line="240" w:lineRule="auto"/>
    </w:pPr>
  </w:style>
  <w:style w:type="paragraph" w:styleId="Brdtext">
    <w:name w:val="Body Text"/>
    <w:basedOn w:val="Normal"/>
    <w:link w:val="BrdtextChar"/>
    <w:uiPriority w:val="1"/>
    <w:qFormat/>
    <w:rsid w:val="00E411BD"/>
    <w:pPr>
      <w:widowControl w:val="0"/>
      <w:autoSpaceDE w:val="0"/>
      <w:autoSpaceDN w:val="0"/>
      <w:spacing w:after="0" w:line="240" w:lineRule="auto"/>
    </w:pPr>
    <w:rPr>
      <w:rFonts w:ascii="Calibri" w:eastAsia="Calibri" w:hAnsi="Calibri" w:cs="Calibri"/>
      <w14:ligatures w14:val="none"/>
    </w:rPr>
  </w:style>
  <w:style w:type="character" w:customStyle="1" w:styleId="BrdtextChar">
    <w:name w:val="Brödtext Char"/>
    <w:basedOn w:val="Standardstycketeckensnitt"/>
    <w:link w:val="Brdtext"/>
    <w:uiPriority w:val="1"/>
    <w:rsid w:val="00E411BD"/>
    <w:rPr>
      <w:rFonts w:ascii="Calibri" w:eastAsia="Calibri" w:hAnsi="Calibri" w:cs="Calibri"/>
      <w14:ligatures w14:val="none"/>
    </w:rPr>
  </w:style>
  <w:style w:type="table" w:styleId="Tabellrutnt">
    <w:name w:val="Table Grid"/>
    <w:basedOn w:val="Normaltabell"/>
    <w:uiPriority w:val="39"/>
    <w:rsid w:val="00E411BD"/>
    <w:pPr>
      <w:widowControl w:val="0"/>
      <w:autoSpaceDE w:val="0"/>
      <w:autoSpaceDN w:val="0"/>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4197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Eriksson</dc:creator>
  <cp:keywords/>
  <dc:description/>
  <cp:lastModifiedBy>Fredrik Laurell</cp:lastModifiedBy>
  <cp:revision>2</cp:revision>
  <dcterms:created xsi:type="dcterms:W3CDTF">2026-06-29T13:20:00Z</dcterms:created>
  <dcterms:modified xsi:type="dcterms:W3CDTF">2026-06-29T13:20:00Z</dcterms:modified>
</cp:coreProperties>
</file>